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1D5AC7" w:rsidRPr="001D5AC7" w:rsidTr="001D5AC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1D5AC7">
                    <w:rPr>
                      <w:rFonts w:ascii="Arial" w:eastAsia="Times New Roman" w:hAnsi="Arial" w:cs="Arial"/>
                      <w:sz w:val="16"/>
                      <w:szCs w:val="16"/>
                      <w:lang w:eastAsia="tr-TR"/>
                    </w:rPr>
                    <w:t>25 Nisan 2013  PERŞEMBE</w:t>
                  </w:r>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r w:rsidRPr="001D5AC7">
                    <w:rPr>
                      <w:rFonts w:ascii="Arial" w:eastAsia="Times New Roman" w:hAnsi="Arial" w:cs="Arial"/>
                      <w:sz w:val="16"/>
                      <w:szCs w:val="16"/>
                      <w:lang w:eastAsia="tr-TR"/>
                    </w:rPr>
                    <w:t>Sayı : 28628</w:t>
                  </w:r>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20/6/2012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Kanununun 30 ve 31 inci maddeleri ile 9/1/1985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Kanunun 2 ve 12 nci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kalibrasyon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ifade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al olaylar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11/2/2004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 bozulma 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ancak bilerek ve isteyerek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in asgari </w:t>
                  </w:r>
                  <w:r w:rsidRPr="001D5AC7">
                    <w:rPr>
                      <w:rFonts w:ascii="Times New Roman" w:eastAsia="ヒラギノ明朝 Pro W3" w:hAnsi="Times" w:cs="Times New Roman"/>
                      <w:b/>
                      <w:sz w:val="18"/>
                      <w:szCs w:val="18"/>
                    </w:rPr>
                    <w:lastRenderedPageBreak/>
                    <w:t>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dahil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ekilen ekipman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ekipman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forkliftlerin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Forklift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Forkliftin devrilmesi halinde, yer ile forkliftin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Forklift,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forkliftin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riskini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ekipmanda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organizasyonel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lastRenderedPageBreak/>
                    <w:t>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23/12/2003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ekipman,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periyotlarla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kriterleri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22/1/2007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 xml:space="preserve">&lt;!--[if !supportMisalignedRows]--&gt;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2025 ve TS EN 13445-5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12952-6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w:t>
                        </w:r>
                        <w:r w:rsidRPr="001D5AC7">
                          <w:rPr>
                            <w:rFonts w:ascii="Arial" w:eastAsia="Calibri" w:hAnsi="Arial" w:cs="Arial,Bold"/>
                            <w:b/>
                            <w:bCs/>
                            <w:sz w:val="18"/>
                            <w:szCs w:val="18"/>
                            <w:lang w:eastAsia="tr-TR"/>
                          </w:rPr>
                          <w:t xml:space="preserve"> </w:t>
                        </w:r>
                        <w:r w:rsidRPr="001D5AC7">
                          <w:rPr>
                            <w:rFonts w:ascii="Times New Roman" w:eastAsia="Times New Roman" w:hAnsi="Times New Roman" w:cs="Times New Roman"/>
                            <w:sz w:val="18"/>
                            <w:szCs w:val="18"/>
                            <w:lang w:eastAsia="tr-TR"/>
                          </w:rPr>
                          <w:t>TS EN 1803, TS EN 1968, TS EN 13322, TS EN 14876, TS EN ISO 9809 ve TS EN ISO 16148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12755 ve TS EN 13720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Manifoldlu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13385 ve TS EN 13769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55, TS 1445, TS 1446, TS  EN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EN12817,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14795, TS EN 14914 standartlarında belirtilen kriterlere uygun olarak yapılır.</w:t>
                        </w:r>
                        <w:r w:rsidRPr="001D5AC7">
                          <w:rPr>
                            <w:rFonts w:ascii="Arial" w:eastAsia="Calibri" w:hAnsi="Arial" w:cs="Arial,Bold"/>
                            <w:b/>
                            <w:bCs/>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1203 EN 286-1, TS EN 1012-1:2010,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r w:rsidRPr="001D5AC7">
                          <w:rPr>
                            <w:rFonts w:ascii="Times New Roman" w:eastAsia="Times New Roman" w:hAnsi="Times New Roman" w:cs="Times New Roman"/>
                            <w:sz w:val="18"/>
                            <w:szCs w:val="18"/>
                            <w:lang w:eastAsia="tr-TR"/>
                          </w:rPr>
                          <w:t>Kriyojenik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kriterlere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Kademeli sıkıştırma yapan</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w:t>
                        </w:r>
                        <w:r w:rsidRPr="001D5AC7">
                          <w:rPr>
                            <w:rFonts w:ascii="Times New Roman" w:eastAsia="Arial Unicode MS" w:hAnsi="Times New Roman" w:cs="Times New Roman"/>
                            <w:sz w:val="18"/>
                            <w:szCs w:val="18"/>
                            <w:lang w:eastAsia="tr-TR"/>
                          </w:rPr>
                          <w:t>Tehlikeli sıvılar: aşındırıcı veya sağlığa zararlı sıvılardır.</w:t>
                        </w:r>
                        <w:r w:rsidRPr="001D5AC7">
                          <w:rPr>
                            <w:rFonts w:ascii="Times New Roman" w:eastAsia="Times New Roman" w:hAnsi="Times New Roman" w:cs="Times New Roman"/>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w:t>
                        </w:r>
                        <w:r w:rsidRPr="001D5AC7">
                          <w:rPr>
                            <w:rFonts w:ascii="Times New Roman" w:eastAsia="Times New Roman" w:hAnsi="Times New Roman" w:cs="Times New Roman"/>
                            <w:sz w:val="18"/>
                            <w:szCs w:val="18"/>
                            <w:lang w:eastAsia="tr-TR"/>
                          </w:rPr>
                          <w:lastRenderedPageBreak/>
                          <w:t>Yönetmeliğin yayımı tarihinden sonra yayımlanan konuyla ilgili 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 ve iletme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(forklift, transpalet,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10689, TS EN 1757-2, TS ISO 5057, TS 10201 ISO 3184, TS ISO 6055, TS ISO 1074 ve FEM 4.004 standartlarında belirtilen kriterlere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1495 + A2, TS EN 1808 ve TS EN 12811-3 standartlarında belirtilen kriterlere uygun olarak ve EK- II’ nin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w:t>
                        </w: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Mobil kaldırma ekipmanlarının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Elektronik kumanda sistemi ile donatılmış kaldırma ve iletme ekipmanının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kriterlere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EK-III, madde 1.4.</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makine veya mekatronik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C7"/>
    <w:rsid w:val="00045049"/>
    <w:rsid w:val="001D5AC7"/>
    <w:rsid w:val="00897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7952</Words>
  <Characters>45331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RecepAli</cp:lastModifiedBy>
  <cp:revision>2</cp:revision>
  <dcterms:created xsi:type="dcterms:W3CDTF">2015-12-15T14:25:00Z</dcterms:created>
  <dcterms:modified xsi:type="dcterms:W3CDTF">2015-12-15T14:25:00Z</dcterms:modified>
</cp:coreProperties>
</file>